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501" w:rsidRPr="002F1BFA" w:rsidRDefault="004E621C" w:rsidP="00996535">
      <w:pPr>
        <w:pStyle w:val="Kopfzeile"/>
        <w:tabs>
          <w:tab w:val="clear" w:pos="4536"/>
          <w:tab w:val="clear" w:pos="9072"/>
          <w:tab w:val="left" w:pos="1134"/>
          <w:tab w:val="left" w:pos="6521"/>
        </w:tabs>
        <w:ind w:left="1134" w:right="2692" w:hanging="1134"/>
        <w:rPr>
          <w:b/>
        </w:rPr>
      </w:pPr>
      <w:r w:rsidRPr="001B4247">
        <w:rPr>
          <w:color w:val="4472C4" w:themeColor="accent5"/>
        </w:rPr>
        <w:t>..............</w:t>
      </w:r>
      <w:r>
        <w:tab/>
      </w:r>
      <w:r w:rsidR="002F1BFA">
        <w:rPr>
          <w:b/>
        </w:rPr>
        <w:t>A</w:t>
      </w:r>
      <w:r w:rsidR="00466D59">
        <w:rPr>
          <w:b/>
        </w:rPr>
        <w:t>bscheideranlage für Leichtflüssigkeiten</w:t>
      </w:r>
      <w:r>
        <w:br/>
      </w:r>
      <w:r w:rsidR="00466D59">
        <w:t xml:space="preserve">nach DIN EN 858 und DIN 1999-100/-101 </w:t>
      </w:r>
      <w:r>
        <w:t xml:space="preserve">als </w:t>
      </w:r>
      <w:r w:rsidR="00ED1425">
        <w:t>Komp</w:t>
      </w:r>
      <w:r w:rsidR="002F1BFA">
        <w:t>aktanlage</w:t>
      </w:r>
      <w:r w:rsidR="00466D59">
        <w:t>, bestehend aus Abscheider Klasse I</w:t>
      </w:r>
      <w:r w:rsidR="00F25238">
        <w:t xml:space="preserve">I und </w:t>
      </w:r>
      <w:r w:rsidR="00466D59">
        <w:t>Schlammfang</w:t>
      </w:r>
      <w:r w:rsidR="00711501">
        <w:br/>
      </w:r>
      <w:r>
        <w:t xml:space="preserve">entsprechend technischer </w:t>
      </w:r>
      <w:r w:rsidR="00711501">
        <w:t xml:space="preserve">Daten und Merkmale </w:t>
      </w:r>
      <w:r>
        <w:t>wie folgt:</w:t>
      </w:r>
    </w:p>
    <w:p w:rsidR="00711501" w:rsidRPr="008277A1" w:rsidRDefault="00711501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Typ </w:t>
      </w:r>
      <w:r w:rsidR="0045603D">
        <w:rPr>
          <w:b/>
        </w:rPr>
        <w:t>3A-gravis</w:t>
      </w:r>
      <w:r w:rsidR="00F25238">
        <w:rPr>
          <w:b/>
        </w:rPr>
        <w:t>-kompakt</w:t>
      </w:r>
    </w:p>
    <w:p w:rsidR="008277A1" w:rsidRPr="008277A1" w:rsidRDefault="008277A1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 w:rsidRPr="008277A1">
        <w:t>mit allgemeiner</w:t>
      </w:r>
      <w:r>
        <w:t xml:space="preserve"> bauaufsichtlicher Zulassung/allgemeiner Bauartgenehmigung; DIBt, B</w:t>
      </w:r>
      <w:r w:rsidR="00466D59">
        <w:t>erlin – Zulassungs-Nr. Z</w:t>
      </w:r>
      <w:r w:rsidR="00F25238">
        <w:t>-83.3-391</w:t>
      </w:r>
      <w:r w:rsidR="00466D59">
        <w:t>, CE-Kennzeichnung und Herstellerbescheini</w:t>
      </w:r>
      <w:r w:rsidR="00C20C73">
        <w:t>g</w:t>
      </w:r>
      <w:r w:rsidR="00466D59">
        <w:t>ung, dass die Abscheideranlage den bei der Zulassungserteilung bescheinigten Anforderungen entspricht</w:t>
      </w:r>
    </w:p>
    <w:p w:rsidR="004E621C" w:rsidRDefault="004E621C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mit </w:t>
      </w:r>
      <w:r w:rsidRPr="00711501">
        <w:rPr>
          <w:b/>
        </w:rPr>
        <w:t>RAL-GZ 69</w:t>
      </w:r>
      <w:r w:rsidRPr="00ED1425">
        <w:rPr>
          <w:b/>
        </w:rPr>
        <w:t>3</w:t>
      </w:r>
      <w:r>
        <w:t xml:space="preserve"> Abscheideranlagen</w:t>
      </w:r>
    </w:p>
    <w:p w:rsidR="00711501" w:rsidRDefault="00711501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unabhängige Fremdüberwachung durch externe Prüfstelle</w:t>
      </w:r>
    </w:p>
    <w:p w:rsidR="00711501" w:rsidRDefault="00711501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Behälterherstellung </w:t>
      </w:r>
      <w:r w:rsidR="004E621C">
        <w:t>in güteüberwachter, monolithischer Fertig</w:t>
      </w:r>
      <w:r>
        <w:t xml:space="preserve">bauweise aus Stahlbeton </w:t>
      </w:r>
      <w:r w:rsidR="004E621C">
        <w:t>nach DIN 1045</w:t>
      </w:r>
      <w:r>
        <w:t>-4 mit geprüfter Typenstatik</w:t>
      </w:r>
    </w:p>
    <w:p w:rsidR="004E621C" w:rsidRDefault="00636385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Stahlbetonbehälter </w:t>
      </w:r>
      <w:bookmarkStart w:id="0" w:name="_GoBack"/>
      <w:bookmarkEnd w:id="0"/>
      <w:r w:rsidR="00711501">
        <w:t>Wandstärke 15 cm, Schachtaufbauten gem.</w:t>
      </w:r>
      <w:r w:rsidR="004E621C">
        <w:t xml:space="preserve"> DIN</w:t>
      </w:r>
      <w:r w:rsidR="00E42270">
        <w:t xml:space="preserve"> </w:t>
      </w:r>
      <w:r w:rsidR="004E621C">
        <w:t>403</w:t>
      </w:r>
      <w:r w:rsidR="00711501">
        <w:t>4-1</w:t>
      </w:r>
    </w:p>
    <w:p w:rsidR="00466D59" w:rsidRDefault="004E621C" w:rsidP="00F2523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wenn ein Höhenausgleich über das max. Maß der Auflageringe </w:t>
      </w:r>
      <w:r w:rsidR="00711501">
        <w:t xml:space="preserve">(AR-V) </w:t>
      </w:r>
      <w:r>
        <w:t>notwendig ist, sind Schachtringe im lichten Maß des Behälterdurchmessers aufzusetzen</w:t>
      </w:r>
    </w:p>
    <w:p w:rsidR="00466D59" w:rsidRDefault="00466D59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Funktionseinbauteile Edelstahl Rostfrei</w:t>
      </w:r>
      <w:r w:rsidRPr="00466D59">
        <w:rPr>
          <w:vertAlign w:val="superscript"/>
        </w:rPr>
        <w:sym w:font="Symbol" w:char="F0E2"/>
      </w:r>
      <w:r>
        <w:t>, Werkstoff 1.4301</w:t>
      </w:r>
    </w:p>
    <w:p w:rsidR="001B4247" w:rsidRDefault="00711501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Innenwandflächen sind </w:t>
      </w:r>
      <w:r w:rsidR="004E621C">
        <w:t xml:space="preserve">mit </w:t>
      </w:r>
      <w:r>
        <w:t>ei</w:t>
      </w:r>
      <w:r w:rsidR="001B4247">
        <w:t>ner gegenüber den auftretenden F</w:t>
      </w:r>
      <w:r>
        <w:t>lüssigkeiten beständigen Beschichtung versehen</w:t>
      </w:r>
    </w:p>
    <w:p w:rsidR="004E621C" w:rsidRDefault="004E621C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gelenkige Rohranschlüsse durch werkseitig eingebaute, beständige Dichtelemente (NBR) für Kunststoffrohre</w:t>
      </w:r>
    </w:p>
    <w:p w:rsidR="008277A1" w:rsidRDefault="00466D59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hydraulische Wirksamkeit durch unabhängige Prüfstelle mit Typprüfung inklusive Prüfzeugnis</w:t>
      </w:r>
    </w:p>
    <w:p w:rsidR="004E621C" w:rsidRPr="001B4247" w:rsidRDefault="004E621C" w:rsidP="00996535">
      <w:pPr>
        <w:pStyle w:val="Kopfzeile"/>
        <w:tabs>
          <w:tab w:val="clear" w:pos="4536"/>
          <w:tab w:val="clear" w:pos="9072"/>
        </w:tabs>
        <w:spacing w:before="60"/>
        <w:ind w:left="1134" w:right="2692"/>
        <w:rPr>
          <w:color w:val="4472C4" w:themeColor="accent5"/>
        </w:rPr>
      </w:pPr>
      <w:r w:rsidRPr="001B4247">
        <w:rPr>
          <w:color w:val="4472C4" w:themeColor="accent5"/>
          <w:u w:val="single"/>
        </w:rPr>
        <w:t>Ergänzung technischer Daten, Alternativen und Optionen auswählen:</w:t>
      </w:r>
    </w:p>
    <w:p w:rsidR="008277A1" w:rsidRPr="008277A1" w:rsidRDefault="008277A1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 xml:space="preserve">Nenngröße (NS) </w:t>
      </w:r>
      <w:r w:rsidRPr="008277A1">
        <w:rPr>
          <w:b/>
          <w:color w:val="4472C4" w:themeColor="accent5"/>
        </w:rPr>
        <w:t>x</w:t>
      </w:r>
    </w:p>
    <w:p w:rsidR="008277A1" w:rsidRPr="008277A1" w:rsidRDefault="008277A1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 w:rsidRPr="008277A1">
        <w:t xml:space="preserve">Speichermenge Leichtflüssigkeit: </w:t>
      </w:r>
      <w:r>
        <w:rPr>
          <w:color w:val="4472C4" w:themeColor="accent5"/>
        </w:rPr>
        <w:t xml:space="preserve">x </w:t>
      </w:r>
      <w:r w:rsidRPr="008277A1">
        <w:t>Liter</w:t>
      </w:r>
    </w:p>
    <w:p w:rsidR="004E621C" w:rsidRDefault="004E621C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 xml:space="preserve">Volumen Schlammfang: </w:t>
      </w:r>
      <w:r w:rsidRPr="001B4247">
        <w:rPr>
          <w:b/>
          <w:color w:val="4472C4" w:themeColor="accent5"/>
        </w:rPr>
        <w:t>x</w:t>
      </w:r>
      <w:r>
        <w:t xml:space="preserve"> Liter</w:t>
      </w:r>
    </w:p>
    <w:p w:rsidR="004E621C" w:rsidRDefault="004E621C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>Zu- und Ablaufnennweite DN:</w:t>
      </w:r>
      <w:r>
        <w:rPr>
          <w:b/>
        </w:rPr>
        <w:t xml:space="preserve"> </w:t>
      </w:r>
      <w:r w:rsidRPr="001B4247">
        <w:rPr>
          <w:b/>
          <w:color w:val="4472C4" w:themeColor="accent5"/>
        </w:rPr>
        <w:t>x</w:t>
      </w:r>
      <w:r>
        <w:t xml:space="preserve"> mm</w:t>
      </w:r>
    </w:p>
    <w:p w:rsidR="004E621C" w:rsidRDefault="004E621C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 xml:space="preserve">Zulauftiefe OK Gelände bis Rohrsohle: </w:t>
      </w:r>
      <w:r w:rsidRPr="001B4247">
        <w:rPr>
          <w:color w:val="4472C4" w:themeColor="accent5"/>
        </w:rPr>
        <w:t>x</w:t>
      </w:r>
      <w:r>
        <w:t xml:space="preserve"> mm</w:t>
      </w:r>
    </w:p>
    <w:p w:rsidR="004E621C" w:rsidRDefault="004E621C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>schwerstes Einzelteil</w:t>
      </w:r>
      <w:r w:rsidR="001B4247">
        <w:t xml:space="preserve"> ca.</w:t>
      </w:r>
      <w:r>
        <w:t xml:space="preserve">: </w:t>
      </w:r>
      <w:r w:rsidRPr="001B4247">
        <w:rPr>
          <w:color w:val="4472C4" w:themeColor="accent5"/>
        </w:rPr>
        <w:t>x</w:t>
      </w:r>
      <w:r>
        <w:t xml:space="preserve"> kg</w:t>
      </w:r>
    </w:p>
    <w:p w:rsidR="004E621C" w:rsidRPr="001B4247" w:rsidRDefault="008277A1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t xml:space="preserve">selbsttätige Verschlusseinrichtung tariert für ein Dichte der abzuscheidenden Leichtflüssigkeit </w:t>
      </w:r>
      <w:r w:rsidRPr="008277A1">
        <w:rPr>
          <w:color w:val="4472C4" w:themeColor="accent5"/>
        </w:rPr>
        <w:t xml:space="preserve">0,90 / 0,95 </w:t>
      </w:r>
      <w:r>
        <w:t>g/cm³</w:t>
      </w:r>
    </w:p>
    <w:p w:rsidR="004E621C" w:rsidRDefault="004E621C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t>Schachtabdeckung nach DIN EN 124/DIN 1229</w:t>
      </w:r>
      <w:r w:rsidR="001B4247">
        <w:t xml:space="preserve">, mit Aufschrift „Abscheider“, </w:t>
      </w:r>
      <w:r w:rsidRPr="001B4247">
        <w:rPr>
          <w:color w:val="4472C4" w:themeColor="accent5"/>
        </w:rPr>
        <w:t>Kl. B 125 / D 400</w:t>
      </w:r>
    </w:p>
    <w:p w:rsidR="004E621C" w:rsidRPr="00ED7CD1" w:rsidRDefault="004E621C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t xml:space="preserve">Rohrsystem: </w:t>
      </w:r>
      <w:r w:rsidR="001B4247" w:rsidRPr="001B4247">
        <w:rPr>
          <w:color w:val="4472C4" w:themeColor="accent5"/>
        </w:rPr>
        <w:t>KG / PE-HD</w:t>
      </w:r>
    </w:p>
    <w:p w:rsidR="00ED7CD1" w:rsidRPr="00533AFC" w:rsidRDefault="00F25238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t xml:space="preserve">Schachtaufbau </w:t>
      </w:r>
      <w:r w:rsidRPr="00F25238">
        <w:rPr>
          <w:color w:val="4472C4" w:themeColor="accent5"/>
        </w:rPr>
        <w:t>Konus / Abdeckplatte</w:t>
      </w:r>
    </w:p>
    <w:p w:rsidR="004E621C" w:rsidRPr="001B4247" w:rsidRDefault="004E621C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 w:rsidRPr="001B4247">
        <w:rPr>
          <w:color w:val="4472C4" w:themeColor="accent5"/>
        </w:rPr>
        <w:t>mit PE-HD-Innenauskleidung</w:t>
      </w:r>
      <w:r w:rsidR="001B4247">
        <w:t xml:space="preserve"> </w:t>
      </w:r>
      <w:r w:rsidR="001B4247" w:rsidRPr="001B4247">
        <w:rPr>
          <w:color w:val="4472C4" w:themeColor="accent5"/>
        </w:rPr>
        <w:t>anstelle der normgerechten Beschichtung</w:t>
      </w:r>
    </w:p>
    <w:p w:rsidR="001B4247" w:rsidRPr="001B4247" w:rsidRDefault="001B4247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 w:rsidRPr="001B4247">
        <w:rPr>
          <w:color w:val="4472C4" w:themeColor="accent5"/>
        </w:rPr>
        <w:t>Lastübertragungsringe (anstelle bauseitiger Frischmörtelschicht)</w:t>
      </w:r>
    </w:p>
    <w:p w:rsidR="004E621C" w:rsidRDefault="004E621C" w:rsidP="00996535">
      <w:pPr>
        <w:pStyle w:val="Kopfzeile"/>
        <w:tabs>
          <w:tab w:val="clear" w:pos="4536"/>
          <w:tab w:val="clear" w:pos="9072"/>
        </w:tabs>
        <w:spacing w:before="60"/>
        <w:ind w:left="1134" w:right="2692"/>
      </w:pPr>
      <w:r>
        <w:t>Produkthersteller:</w:t>
      </w:r>
    </w:p>
    <w:p w:rsidR="004E621C" w:rsidRDefault="004E621C" w:rsidP="00996535">
      <w:pPr>
        <w:pStyle w:val="Kopfzeile"/>
        <w:tabs>
          <w:tab w:val="clear" w:pos="4536"/>
          <w:tab w:val="clear" w:pos="9072"/>
        </w:tabs>
        <w:ind w:left="1134" w:right="2692"/>
      </w:pPr>
      <w:r>
        <w:t>3A Wassertechnik GmbH &amp; Co. KG</w:t>
      </w:r>
    </w:p>
    <w:p w:rsidR="004E621C" w:rsidRDefault="004E621C" w:rsidP="00996535">
      <w:pPr>
        <w:pStyle w:val="Kopfzeile"/>
        <w:tabs>
          <w:tab w:val="clear" w:pos="4536"/>
          <w:tab w:val="clear" w:pos="9072"/>
        </w:tabs>
        <w:ind w:left="1134" w:right="2692"/>
      </w:pPr>
      <w:r>
        <w:t>Werner-Haas-Straße 2, 86153 Augsburg</w:t>
      </w:r>
    </w:p>
    <w:p w:rsidR="004E621C" w:rsidRDefault="004E621C" w:rsidP="00996535">
      <w:pPr>
        <w:pStyle w:val="Kopfzeile"/>
        <w:tabs>
          <w:tab w:val="clear" w:pos="4536"/>
          <w:tab w:val="clear" w:pos="9072"/>
        </w:tabs>
        <w:ind w:left="1134" w:right="2692"/>
      </w:pPr>
      <w:r>
        <w:t>Tel.: 0821/5 68 86 – 0, Fax: - 99</w:t>
      </w:r>
    </w:p>
    <w:p w:rsidR="004E621C" w:rsidRDefault="004E621C" w:rsidP="00996535">
      <w:pPr>
        <w:pStyle w:val="Kopfzeile"/>
        <w:tabs>
          <w:tab w:val="clear" w:pos="4536"/>
          <w:tab w:val="clear" w:pos="9072"/>
        </w:tabs>
        <w:ind w:left="1134" w:right="2692"/>
      </w:pPr>
      <w:r>
        <w:t>E-Mail: technik@3a-wassertechnik.de</w:t>
      </w:r>
    </w:p>
    <w:p w:rsidR="004E621C" w:rsidRPr="001B4247" w:rsidRDefault="004E621C" w:rsidP="00996535">
      <w:pPr>
        <w:pStyle w:val="Kopfzeile"/>
        <w:tabs>
          <w:tab w:val="clear" w:pos="4536"/>
          <w:tab w:val="clear" w:pos="9072"/>
        </w:tabs>
        <w:spacing w:before="120" w:after="120"/>
        <w:ind w:left="1134" w:right="2692"/>
        <w:rPr>
          <w:color w:val="4472C4" w:themeColor="accent5"/>
        </w:rPr>
      </w:pPr>
      <w:r w:rsidRPr="001B4247">
        <w:rPr>
          <w:color w:val="4472C4" w:themeColor="accent5"/>
        </w:rPr>
        <w:t>Liefern und Versetzen in vorbereitete Baugrube</w:t>
      </w:r>
    </w:p>
    <w:p w:rsidR="004E621C" w:rsidRPr="001B4247" w:rsidRDefault="004E621C" w:rsidP="00996535">
      <w:pPr>
        <w:pStyle w:val="Kopfzeile"/>
        <w:tabs>
          <w:tab w:val="clear" w:pos="4536"/>
          <w:tab w:val="clear" w:pos="9072"/>
        </w:tabs>
        <w:spacing w:after="120"/>
        <w:ind w:left="1134" w:right="2692"/>
        <w:rPr>
          <w:color w:val="4472C4" w:themeColor="accent5"/>
        </w:rPr>
      </w:pPr>
      <w:r w:rsidRPr="001B4247">
        <w:rPr>
          <w:color w:val="4472C4" w:themeColor="accent5"/>
        </w:rPr>
        <w:t xml:space="preserve">Versetzen in vorbereitete Baugrube </w:t>
      </w:r>
      <w:r w:rsidRPr="001B4247">
        <w:rPr>
          <w:color w:val="4472C4" w:themeColor="accent5"/>
        </w:rPr>
        <w:br/>
        <w:t>(Abscheideranlage wird bauseits beigestellt)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992"/>
        <w:gridCol w:w="1276"/>
        <w:gridCol w:w="1276"/>
      </w:tblGrid>
      <w:tr w:rsidR="004E621C">
        <w:tc>
          <w:tcPr>
            <w:tcW w:w="1134" w:type="dxa"/>
          </w:tcPr>
          <w:p w:rsidR="004E621C" w:rsidRDefault="004E621C">
            <w:r>
              <w:t>Anzahl</w:t>
            </w:r>
          </w:p>
        </w:tc>
        <w:tc>
          <w:tcPr>
            <w:tcW w:w="4253" w:type="dxa"/>
          </w:tcPr>
          <w:p w:rsidR="004E621C" w:rsidRPr="001B4247" w:rsidRDefault="004E621C">
            <w:pPr>
              <w:jc w:val="right"/>
              <w:rPr>
                <w:color w:val="4472C4" w:themeColor="accent5"/>
              </w:rPr>
            </w:pPr>
            <w:r w:rsidRPr="001B4247">
              <w:rPr>
                <w:color w:val="4472C4" w:themeColor="accent5"/>
              </w:rPr>
              <w:t>1</w:t>
            </w:r>
          </w:p>
        </w:tc>
        <w:tc>
          <w:tcPr>
            <w:tcW w:w="992" w:type="dxa"/>
          </w:tcPr>
          <w:p w:rsidR="004E621C" w:rsidRDefault="004E621C">
            <w:r>
              <w:t xml:space="preserve"> Stück</w:t>
            </w:r>
          </w:p>
        </w:tc>
        <w:tc>
          <w:tcPr>
            <w:tcW w:w="1276" w:type="dxa"/>
          </w:tcPr>
          <w:p w:rsidR="004E621C" w:rsidRDefault="004E621C">
            <w:pPr>
              <w:pStyle w:val="Kopfzeile"/>
              <w:tabs>
                <w:tab w:val="clear" w:pos="4536"/>
                <w:tab w:val="clear" w:pos="9072"/>
                <w:tab w:val="right" w:pos="1134"/>
              </w:tabs>
            </w:pPr>
            <w:r>
              <w:tab/>
              <w:t>................</w:t>
            </w:r>
          </w:p>
        </w:tc>
        <w:tc>
          <w:tcPr>
            <w:tcW w:w="1276" w:type="dxa"/>
          </w:tcPr>
          <w:p w:rsidR="004E621C" w:rsidRDefault="004E621C">
            <w:pPr>
              <w:pStyle w:val="Kopfzeile"/>
              <w:tabs>
                <w:tab w:val="clear" w:pos="4536"/>
                <w:tab w:val="clear" w:pos="9072"/>
                <w:tab w:val="right" w:pos="1134"/>
              </w:tabs>
            </w:pPr>
            <w:r>
              <w:tab/>
              <w:t>..................</w:t>
            </w:r>
          </w:p>
        </w:tc>
      </w:tr>
    </w:tbl>
    <w:p w:rsidR="004E621C" w:rsidRDefault="004E621C">
      <w:pPr>
        <w:pStyle w:val="Kopfzeile"/>
        <w:tabs>
          <w:tab w:val="clear" w:pos="4536"/>
          <w:tab w:val="clear" w:pos="9072"/>
        </w:tabs>
      </w:pPr>
    </w:p>
    <w:p w:rsidR="004E621C" w:rsidRDefault="004E621C">
      <w:pPr>
        <w:pStyle w:val="Kopfzeile"/>
        <w:tabs>
          <w:tab w:val="clear" w:pos="4536"/>
          <w:tab w:val="clear" w:pos="9072"/>
        </w:tabs>
      </w:pPr>
    </w:p>
    <w:p w:rsidR="004E621C" w:rsidRPr="001B4247" w:rsidRDefault="004E621C">
      <w:pPr>
        <w:spacing w:after="60"/>
        <w:rPr>
          <w:color w:val="70AD47" w:themeColor="accent6"/>
        </w:rPr>
      </w:pPr>
      <w:r w:rsidRPr="001B4247">
        <w:rPr>
          <w:color w:val="70AD47" w:themeColor="accent6"/>
          <w:u w:val="single"/>
        </w:rPr>
        <w:t>Anmerkungen</w:t>
      </w:r>
      <w:r w:rsidRPr="001B4247">
        <w:rPr>
          <w:color w:val="70AD47" w:themeColor="accent6"/>
        </w:rPr>
        <w:t xml:space="preserve">: </w:t>
      </w:r>
    </w:p>
    <w:p w:rsidR="004E621C" w:rsidRPr="001B4247" w:rsidRDefault="004E621C" w:rsidP="004E621C">
      <w:pPr>
        <w:numPr>
          <w:ilvl w:val="0"/>
          <w:numId w:val="2"/>
        </w:numPr>
        <w:spacing w:after="60"/>
        <w:rPr>
          <w:color w:val="70AD47" w:themeColor="accent6"/>
        </w:rPr>
      </w:pPr>
      <w:r w:rsidRPr="001B4247">
        <w:rPr>
          <w:color w:val="70AD47" w:themeColor="accent6"/>
        </w:rPr>
        <w:t>Die blaue Schrift ist gezielt zu bearbeiten: Ergänzungen technischer Daten und Auswahl (Text ggf. löschen).</w:t>
      </w:r>
    </w:p>
    <w:p w:rsidR="004E621C" w:rsidRPr="001B4247" w:rsidRDefault="004E621C" w:rsidP="001B4247">
      <w:pPr>
        <w:numPr>
          <w:ilvl w:val="0"/>
          <w:numId w:val="2"/>
        </w:numPr>
        <w:spacing w:after="60"/>
        <w:rPr>
          <w:color w:val="70AD47" w:themeColor="accent6"/>
        </w:rPr>
      </w:pPr>
      <w:r w:rsidRPr="001B4247">
        <w:rPr>
          <w:color w:val="70AD47" w:themeColor="accent6"/>
        </w:rPr>
        <w:t>Die Ausschreibung ist ggf. durch die normativ geforderte Generalinspektion und ggf. Inbetriebnahme vor Ort zu ergänzen.</w:t>
      </w:r>
    </w:p>
    <w:p w:rsidR="004E621C" w:rsidRDefault="004E621C">
      <w:pPr>
        <w:pStyle w:val="Kopfzeile"/>
        <w:tabs>
          <w:tab w:val="clear" w:pos="4536"/>
          <w:tab w:val="clear" w:pos="9072"/>
        </w:tabs>
        <w:ind w:right="2977"/>
      </w:pPr>
    </w:p>
    <w:sectPr w:rsidR="004E621C">
      <w:headerReference w:type="default" r:id="rId7"/>
      <w:pgSz w:w="11906" w:h="16838" w:code="9"/>
      <w:pgMar w:top="680" w:right="709" w:bottom="284" w:left="1134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21C" w:rsidRDefault="004E621C">
      <w:r>
        <w:separator/>
      </w:r>
    </w:p>
  </w:endnote>
  <w:endnote w:type="continuationSeparator" w:id="0">
    <w:p w:rsidR="004E621C" w:rsidRDefault="004E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21C" w:rsidRDefault="004E621C">
      <w:r>
        <w:separator/>
      </w:r>
    </w:p>
  </w:footnote>
  <w:footnote w:type="continuationSeparator" w:id="0">
    <w:p w:rsidR="004E621C" w:rsidRDefault="004E6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"/>
      <w:gridCol w:w="6379"/>
      <w:gridCol w:w="1276"/>
      <w:gridCol w:w="1276"/>
    </w:tblGrid>
    <w:tr w:rsidR="004E621C">
      <w:trPr>
        <w:cantSplit/>
      </w:trPr>
      <w:tc>
        <w:tcPr>
          <w:tcW w:w="1134" w:type="dxa"/>
        </w:tcPr>
        <w:p w:rsidR="004E621C" w:rsidRDefault="004E621C">
          <w:pPr>
            <w:pStyle w:val="Kopfzeile"/>
            <w:tabs>
              <w:tab w:val="clear" w:pos="4536"/>
              <w:tab w:val="clear" w:pos="9072"/>
            </w:tabs>
            <w:spacing w:before="60" w:after="60"/>
            <w:rPr>
              <w:sz w:val="18"/>
            </w:rPr>
          </w:pPr>
          <w:r>
            <w:rPr>
              <w:sz w:val="18"/>
            </w:rPr>
            <w:t>Position</w:t>
          </w:r>
        </w:p>
      </w:tc>
      <w:tc>
        <w:tcPr>
          <w:tcW w:w="6379" w:type="dxa"/>
        </w:tcPr>
        <w:p w:rsidR="004E621C" w:rsidRDefault="004E621C">
          <w:pPr>
            <w:spacing w:before="60" w:after="60"/>
            <w:rPr>
              <w:sz w:val="18"/>
            </w:rPr>
          </w:pPr>
          <w:r>
            <w:rPr>
              <w:sz w:val="18"/>
            </w:rPr>
            <w:t>Leistungsbeschreibung</w:t>
          </w:r>
        </w:p>
      </w:tc>
      <w:tc>
        <w:tcPr>
          <w:tcW w:w="1276" w:type="dxa"/>
        </w:tcPr>
        <w:p w:rsidR="004E621C" w:rsidRDefault="004E621C">
          <w:pPr>
            <w:spacing w:before="60" w:after="60"/>
            <w:rPr>
              <w:sz w:val="18"/>
            </w:rPr>
          </w:pPr>
          <w:r>
            <w:rPr>
              <w:sz w:val="18"/>
            </w:rPr>
            <w:t>Einheitspreis</w:t>
          </w:r>
          <w:r>
            <w:rPr>
              <w:sz w:val="18"/>
            </w:rPr>
            <w:br/>
            <w:t>in EUR</w:t>
          </w:r>
        </w:p>
      </w:tc>
      <w:tc>
        <w:tcPr>
          <w:tcW w:w="1276" w:type="dxa"/>
        </w:tcPr>
        <w:p w:rsidR="004E621C" w:rsidRDefault="004E621C">
          <w:pPr>
            <w:spacing w:before="60" w:after="60"/>
            <w:rPr>
              <w:sz w:val="18"/>
            </w:rPr>
          </w:pPr>
          <w:r>
            <w:rPr>
              <w:sz w:val="18"/>
            </w:rPr>
            <w:t>Gesamtpreis</w:t>
          </w:r>
          <w:r>
            <w:rPr>
              <w:sz w:val="18"/>
            </w:rPr>
            <w:br/>
            <w:t>in EUR</w:t>
          </w:r>
        </w:p>
      </w:tc>
    </w:tr>
  </w:tbl>
  <w:p w:rsidR="004E621C" w:rsidRDefault="004E621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D1FA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E1D2F4D"/>
    <w:multiLevelType w:val="singleLevel"/>
    <w:tmpl w:val="3C645076"/>
    <w:lvl w:ilvl="0">
      <w:start w:val="26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78"/>
    <w:rsid w:val="001B4247"/>
    <w:rsid w:val="002F1BFA"/>
    <w:rsid w:val="0045603D"/>
    <w:rsid w:val="00466D59"/>
    <w:rsid w:val="00472678"/>
    <w:rsid w:val="004E621C"/>
    <w:rsid w:val="00533AFC"/>
    <w:rsid w:val="00607D5C"/>
    <w:rsid w:val="00636385"/>
    <w:rsid w:val="0065489F"/>
    <w:rsid w:val="00711501"/>
    <w:rsid w:val="007F0B8F"/>
    <w:rsid w:val="008277A1"/>
    <w:rsid w:val="00996535"/>
    <w:rsid w:val="00A430A2"/>
    <w:rsid w:val="00BB5721"/>
    <w:rsid w:val="00C20C73"/>
    <w:rsid w:val="00C23D9A"/>
    <w:rsid w:val="00CE43F0"/>
    <w:rsid w:val="00D0058B"/>
    <w:rsid w:val="00E0573F"/>
    <w:rsid w:val="00E42270"/>
    <w:rsid w:val="00ED1425"/>
    <w:rsid w:val="00ED7CD1"/>
    <w:rsid w:val="00F2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5:chartTrackingRefBased/>
  <w15:docId w15:val="{EBA65CC1-367C-4FE5-97B8-1E031F2B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5">
    <w:name w:val="heading 5"/>
    <w:basedOn w:val="Standard"/>
    <w:next w:val="Standard"/>
    <w:qFormat/>
    <w:pPr>
      <w:keepNext/>
      <w:tabs>
        <w:tab w:val="decimal" w:pos="6521"/>
        <w:tab w:val="left" w:pos="7372"/>
      </w:tabs>
      <w:ind w:left="567" w:right="2155"/>
      <w:jc w:val="both"/>
      <w:outlineLvl w:val="4"/>
    </w:pPr>
    <w:rPr>
      <w:b/>
      <w:color w:val="00FF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g-td">
    <w:name w:val="ang-td"/>
    <w:basedOn w:val="Standard"/>
    <w:pPr>
      <w:tabs>
        <w:tab w:val="right" w:pos="4253"/>
        <w:tab w:val="right" w:pos="4678"/>
      </w:tabs>
      <w:spacing w:before="60" w:after="60"/>
      <w:ind w:left="567" w:right="2155"/>
      <w:jc w:val="both"/>
    </w:pPr>
    <w:rPr>
      <w:sz w:val="16"/>
    </w:rPr>
  </w:style>
  <w:style w:type="paragraph" w:customStyle="1" w:styleId="ang-txt">
    <w:name w:val="ang-txt"/>
    <w:basedOn w:val="Standard"/>
    <w:pPr>
      <w:ind w:left="567" w:right="2155"/>
      <w:jc w:val="both"/>
    </w:pPr>
  </w:style>
  <w:style w:type="paragraph" w:customStyle="1" w:styleId="ang-bersch">
    <w:name w:val="ang-übersch"/>
    <w:basedOn w:val="Standard"/>
    <w:pPr>
      <w:tabs>
        <w:tab w:val="left" w:pos="567"/>
        <w:tab w:val="left" w:pos="7371"/>
        <w:tab w:val="decimal" w:pos="8647"/>
      </w:tabs>
      <w:ind w:left="567" w:hanging="567"/>
    </w:pPr>
    <w:rPr>
      <w:b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semiHidden/>
    <w:pPr>
      <w:ind w:left="964"/>
    </w:pPr>
  </w:style>
  <w:style w:type="paragraph" w:styleId="Blocktext">
    <w:name w:val="Block Text"/>
    <w:basedOn w:val="Standard"/>
    <w:semiHidden/>
    <w:pPr>
      <w:ind w:left="907" w:right="3119"/>
    </w:pPr>
  </w:style>
  <w:style w:type="character" w:styleId="Hyperlink">
    <w:name w:val="Hyperlink"/>
    <w:semiHidden/>
    <w:rPr>
      <w:color w:val="0000FF"/>
      <w:u w:val="single"/>
    </w:rPr>
  </w:style>
  <w:style w:type="paragraph" w:styleId="Funotentext">
    <w:name w:val="footnote text"/>
    <w:basedOn w:val="Standard"/>
    <w:semiHidden/>
    <w:rPr>
      <w:rFonts w:ascii="Helv" w:hAnsi="Helv"/>
    </w:rPr>
  </w:style>
  <w:style w:type="paragraph" w:styleId="Textkrper3">
    <w:name w:val="Body Text 3"/>
    <w:basedOn w:val="Standard"/>
    <w:semiHidden/>
    <w:pPr>
      <w:shd w:val="pct5" w:color="auto" w:fill="auto"/>
      <w:ind w:right="4763"/>
    </w:pPr>
    <w:rPr>
      <w:rFonts w:ascii="Futura Lt BT" w:hAnsi="Futura Lt B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2246</Characters>
  <Application>Microsoft Office Word</Application>
  <DocSecurity>2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Schlammfang als Bestandteil der Abscheideranlage für Leichtlfüssigkeiten nach DIN EN 858 und DIN 1999-100, entsprechend nachfolgender Bauart:</vt:lpstr>
    </vt:vector>
  </TitlesOfParts>
  <Company>dummy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Schlammfang als Bestandteil der Abscheideranlage für Leichtlfüssigkeiten nach DIN EN 858 und DIN 1999-100, entsprechend nachfolgender Bauart:</dc:title>
  <dc:subject/>
  <dc:creator>technik</dc:creator>
  <cp:keywords/>
  <cp:lastModifiedBy>Claudia Berndt</cp:lastModifiedBy>
  <cp:revision>6</cp:revision>
  <cp:lastPrinted>2015-03-19T17:24:00Z</cp:lastPrinted>
  <dcterms:created xsi:type="dcterms:W3CDTF">2021-02-18T08:05:00Z</dcterms:created>
  <dcterms:modified xsi:type="dcterms:W3CDTF">2021-03-01T15:22:00Z</dcterms:modified>
</cp:coreProperties>
</file>